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1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информационное сообщение</w:t>
      </w:r>
      <w:r>
        <w:rPr>
          <w:rFonts w:ascii="Times New Roman" w:hAnsi="Times New Roman" w:cs="Times New Roman"/>
          <w:caps/>
          <w:sz w:val="28"/>
          <w:szCs w:val="28"/>
        </w:rPr>
      </w:r>
    </w:p>
    <w:p>
      <w:pPr>
        <w:pStyle w:val="630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ТЕРРИТОРИАЛЬНОЙ ИЗ</w:t>
      </w:r>
      <w:r>
        <w:rPr>
          <w:b w:val="0"/>
          <w:caps/>
          <w:sz w:val="28"/>
          <w:szCs w:val="28"/>
        </w:rPr>
        <w:t xml:space="preserve">БИРАТЕЛЬНОЙ КОМИССИИ </w:t>
        <w:br w:type="textWrapping" w:clear="all"/>
        <w:t xml:space="preserve"> КАЛИНИНСКОГО РАЙОНА </w:t>
      </w:r>
      <w:r>
        <w:rPr>
          <w:b w:val="0"/>
          <w:caps/>
          <w:sz w:val="28"/>
          <w:szCs w:val="28"/>
        </w:rPr>
        <w:t xml:space="preserve">о приеме </w:t>
      </w:r>
      <w:r>
        <w:rPr>
          <w:b w:val="0"/>
          <w:caps/>
          <w:sz w:val="28"/>
          <w:szCs w:val="28"/>
        </w:rPr>
        <w:br w:type="textWrapping" w:clear="all"/>
      </w:r>
      <w:r>
        <w:rPr>
          <w:b w:val="0"/>
          <w:caps/>
          <w:sz w:val="28"/>
          <w:szCs w:val="28"/>
        </w:rPr>
        <w:t xml:space="preserve">предложений по кандидатурам членов </w:t>
      </w:r>
      <w:r>
        <w:rPr>
          <w:b w:val="0"/>
          <w:caps/>
          <w:sz w:val="28"/>
          <w:szCs w:val="28"/>
        </w:rPr>
        <w:t xml:space="preserve">УЧАСТКОВЫХ ИЗБИРАТЕЛЬНЫХ КОМИССИЙ </w:t>
      </w:r>
      <w:r>
        <w:rPr>
          <w:b w:val="0"/>
          <w:caps/>
          <w:sz w:val="28"/>
          <w:szCs w:val="28"/>
        </w:rPr>
        <w:t xml:space="preserve">с правом решающего голоса</w:t>
      </w:r>
      <w:r>
        <w:rPr>
          <w:b w:val="0"/>
          <w:caps/>
          <w:sz w:val="28"/>
          <w:szCs w:val="28"/>
        </w:rPr>
      </w:r>
      <w:r>
        <w:rPr>
          <w:b w:val="0"/>
          <w:caps/>
          <w:sz w:val="28"/>
          <w:szCs w:val="28"/>
        </w:rPr>
      </w:r>
    </w:p>
    <w:p>
      <w:pPr>
        <w:pStyle w:val="630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(в резерв составов участковых комиссий)</w:t>
      </w:r>
      <w:r>
        <w:rPr>
          <w:b w:val="0"/>
          <w:caps/>
          <w:sz w:val="28"/>
          <w:szCs w:val="28"/>
        </w:rPr>
        <w:t xml:space="preserve"> </w:t>
      </w:r>
      <w:r>
        <w:rPr>
          <w:b w:val="0"/>
          <w:caps/>
          <w:sz w:val="28"/>
          <w:szCs w:val="28"/>
        </w:rPr>
      </w:r>
    </w:p>
    <w:p>
      <w:pPr>
        <w:pStyle w:val="6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fldChar w:fldCharType="begin"/>
      </w:r>
      <w:r>
        <w:instrText xml:space="preserve">HYPERLINK "consultantplus://offline/ref=2637616290CF897C6EC3D8682D8C071B608C430D7A9A1623EF8CB47C0977A2ACC803196ECA46891E1A96CFAA911ACE3DE8F536B06BOD11J" \h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пунктами 4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HYPERLINK "consultantplus://offline/ref=2637616290CF897C6EC3D8682D8C071B608C430D7A9A1623EF8CB47C0977A2ACC803196ECA44891E1A96CFAA911ACE3DE8F536B06BOD11J" \h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статьи 27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  <w:br w:type="textWrapping" w:clear="all"/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пунктами 4 и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23 Избирательного кодекса Тверской области  территориальная избирательная</w:t>
      </w:r>
      <w:r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объявляет прием предложений по кандидатурам </w:t>
      </w:r>
      <w:r>
        <w:rPr>
          <w:rFonts w:ascii="Times New Roman" w:hAnsi="Times New Roman" w:cs="Times New Roman"/>
          <w:sz w:val="28"/>
          <w:szCs w:val="28"/>
        </w:rPr>
        <w:t xml:space="preserve">для назначения</w:t>
      </w:r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>
        <w:rPr>
          <w:rFonts w:ascii="Times New Roman" w:hAnsi="Times New Roman" w:cs="Times New Roman"/>
          <w:sz w:val="28"/>
          <w:szCs w:val="28"/>
        </w:rPr>
        <w:t xml:space="preserve"> участковых избирательных комиссий избирательных участков № 1157, № 1159, № 1160 </w:t>
      </w:r>
      <w:r>
        <w:rPr>
          <w:rFonts w:ascii="Times New Roman" w:hAnsi="Times New Roman" w:cs="Times New Roman"/>
          <w:sz w:val="28"/>
          <w:szCs w:val="28"/>
        </w:rPr>
        <w:t xml:space="preserve">срока полномочий </w:t>
      </w:r>
      <w:r>
        <w:rPr>
          <w:rFonts w:ascii="Times New Roman" w:hAnsi="Times New Roman" w:cs="Times New Roman"/>
          <w:sz w:val="28"/>
          <w:szCs w:val="28"/>
        </w:rPr>
        <w:t xml:space="preserve"> 2026-2031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с </w:t>
      </w:r>
      <w:r>
        <w:rPr>
          <w:rFonts w:ascii="Times New Roman" w:hAnsi="Times New Roman" w:cs="Times New Roman"/>
          <w:sz w:val="28"/>
          <w:szCs w:val="28"/>
        </w:rPr>
        <w:t xml:space="preserve">3 апреля 2026 года</w:t>
      </w:r>
      <w:r>
        <w:rPr>
          <w:rFonts w:ascii="Times New Roman" w:hAnsi="Times New Roman" w:cs="Times New Roman"/>
          <w:sz w:val="28"/>
          <w:szCs w:val="28"/>
        </w:rPr>
        <w:t xml:space="preserve"> по  </w:t>
      </w:r>
      <w:r>
        <w:rPr>
          <w:rFonts w:ascii="Times New Roman" w:hAnsi="Times New Roman" w:cs="Times New Roman"/>
          <w:sz w:val="28"/>
          <w:szCs w:val="28"/>
        </w:rPr>
        <w:t xml:space="preserve">2 мая</w:t>
        <w:br w:type="textWrapping" w:clear="all"/>
        <w:t xml:space="preserve">2026 года </w:t>
      </w:r>
      <w:r>
        <w:rPr>
          <w:rFonts w:ascii="Times New Roman" w:hAnsi="Times New Roman" w:cs="Times New Roman"/>
          <w:sz w:val="28"/>
          <w:szCs w:val="28"/>
        </w:rPr>
        <w:t xml:space="preserve">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17.00</w:t>
      </w:r>
      <w:r>
        <w:rPr>
          <w:rFonts w:ascii="Times New Roman" w:hAnsi="Times New Roman" w:cs="Times New Roman"/>
          <w:sz w:val="28"/>
          <w:szCs w:val="28"/>
        </w:rPr>
        <w:t xml:space="preserve"> по адресу: 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Тверь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набережная реки Лазури</w:t>
      </w:r>
      <w:r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>
        <w:rPr>
          <w:rFonts w:ascii="Times New Roman" w:hAnsi="Times New Roman" w:cs="Times New Roman"/>
          <w:sz w:val="28"/>
          <w:szCs w:val="28"/>
        </w:rPr>
        <w:t xml:space="preserve">32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состав участков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1157–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участковой избирательной комиссии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состав участков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1159–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участковой избирательной комиссии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Количественный состав участков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1160–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 xml:space="preserve">членов участковой избирательной комиссии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2"/>
        <w:ind w:firstLine="709"/>
      </w:pPr>
      <w:r>
        <w:rPr>
          <w:szCs w:val="28"/>
        </w:rPr>
        <w:t xml:space="preserve">О дате и времени з</w:t>
      </w:r>
      <w:r>
        <w:rPr>
          <w:szCs w:val="28"/>
        </w:rPr>
        <w:t xml:space="preserve">аседани</w:t>
      </w:r>
      <w:r>
        <w:rPr>
          <w:szCs w:val="28"/>
        </w:rPr>
        <w:t xml:space="preserve">я</w:t>
      </w:r>
      <w:r>
        <w:rPr>
          <w:szCs w:val="28"/>
        </w:rPr>
        <w:t xml:space="preserve"> территориальной избирательной комиссии</w:t>
      </w:r>
      <w:r>
        <w:rPr>
          <w:szCs w:val="28"/>
        </w:rPr>
        <w:t xml:space="preserve"> Калининского района </w:t>
      </w:r>
      <w:r>
        <w:rPr>
          <w:szCs w:val="28"/>
        </w:rPr>
        <w:t xml:space="preserve">по формированию </w:t>
      </w:r>
      <w:r>
        <w:rPr>
          <w:szCs w:val="28"/>
        </w:rPr>
        <w:t xml:space="preserve">участковых избирательных комиссий избирательных участков № 1157, № 1159, № 1160 </w:t>
      </w:r>
      <w:r>
        <w:rPr>
          <w:szCs w:val="28"/>
        </w:rPr>
        <w:t xml:space="preserve">срока полномочий </w:t>
      </w:r>
      <w:r>
        <w:rPr>
          <w:szCs w:val="28"/>
        </w:rPr>
        <w:t xml:space="preserve">2026</w:t>
      </w:r>
      <w:r>
        <w:rPr>
          <w:szCs w:val="28"/>
        </w:rPr>
        <w:t xml:space="preserve"> </w:t>
      </w: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2031 годов будет сообщено дополнительно. Информация</w:t>
        <w:br w:type="textWrapping" w:clear="all"/>
      </w:r>
      <w:r>
        <w:rPr>
          <w:szCs w:val="28"/>
        </w:rPr>
        <w:t xml:space="preserve">о проведении заседания будет опубликована на сайте территориальной избирательной комиссии</w:t>
      </w:r>
      <w:r>
        <w:rPr>
          <w:szCs w:val="28"/>
        </w:rPr>
        <w:t xml:space="preserve"> Калининского района</w:t>
      </w:r>
      <w:r>
        <w:rPr>
          <w:szCs w:val="28"/>
        </w:rPr>
        <w:t xml:space="preserve">.</w:t>
      </w:r>
      <w:r/>
    </w:p>
    <w:p>
      <w:pPr>
        <w:pStyle w:val="6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андидатуры, предложенные в состав </w:t>
      </w:r>
      <w:r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</w:t>
      </w:r>
      <w:r>
        <w:rPr>
          <w:rFonts w:ascii="Times New Roman" w:hAnsi="Times New Roman" w:cs="Times New Roman"/>
          <w:sz w:val="28"/>
          <w:szCs w:val="28"/>
        </w:rPr>
        <w:t xml:space="preserve">, но не назначенные членами </w:t>
      </w:r>
      <w:r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 с правом решающего голоса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зачисляются </w:t>
      </w:r>
      <w:r>
        <w:rPr>
          <w:rFonts w:ascii="Times New Roman" w:hAnsi="Times New Roman" w:cs="Times New Roman"/>
          <w:sz w:val="28"/>
          <w:szCs w:val="28"/>
        </w:rPr>
        <w:t xml:space="preserve">в резе</w:t>
      </w:r>
      <w:r>
        <w:rPr>
          <w:rFonts w:ascii="Times New Roman" w:hAnsi="Times New Roman" w:cs="Times New Roman"/>
          <w:sz w:val="28"/>
          <w:szCs w:val="28"/>
        </w:rPr>
        <w:t xml:space="preserve">рв составов участковых комиссий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внесении предложения (предложений) по кандидатурам для назначения членов </w:t>
      </w:r>
      <w:r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 избирательных участков № 1157, № 1159, № 1160</w:t>
      </w:r>
      <w:r>
        <w:rPr>
          <w:rFonts w:ascii="Times New Roman" w:hAnsi="Times New Roman" w:cs="Times New Roman"/>
          <w:sz w:val="28"/>
          <w:szCs w:val="28"/>
        </w:rPr>
        <w:t xml:space="preserve"> с правом решающего голоса (в резерв составов участковых комиссий) необходимо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ind w:firstLine="709"/>
        <w:jc w:val="both"/>
        <w:widowControl w:val="off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1. Для политических партий, их региональных отделений, иных структурных подразделений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3"/>
        <w:spacing w:line="240" w:lineRule="auto"/>
      </w:pPr>
      <w:r>
        <w:t xml:space="preserve">1.1.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</w:t>
      </w:r>
      <w:r>
        <w:t xml:space="preserve">е</w:t>
      </w:r>
      <w:r>
        <w:t xml:space="preserve"> для назначения членов участков</w:t>
      </w:r>
      <w:r>
        <w:t xml:space="preserve">ой</w:t>
      </w:r>
      <w:r>
        <w:t xml:space="preserve"> избирательн</w:t>
      </w:r>
      <w:r>
        <w:t xml:space="preserve">ой комиссии</w:t>
      </w:r>
      <w:r>
        <w:t xml:space="preserve"> с правом решающего голоса, оформленное в соответствии с требованиями</w:t>
      </w:r>
      <w:r>
        <w:t xml:space="preserve"> устава политической партии.</w:t>
      </w:r>
      <w:r/>
    </w:p>
    <w:p>
      <w:pPr>
        <w:pStyle w:val="653"/>
        <w:spacing w:line="240" w:lineRule="auto"/>
      </w:pPr>
      <w:r>
        <w:t xml:space="preserve">1.2. Если предложение о кандидатур</w:t>
      </w:r>
      <w:r>
        <w:t xml:space="preserve">е</w:t>
      </w:r>
      <w:r>
        <w:t xml:space="preserve">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</w:t>
      </w:r>
      <w:r>
        <w:t xml:space="preserve">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для назначения членов участковых избирательных комиссий с правом решающего голоса о делегировании ук</w:t>
      </w:r>
      <w:r>
        <w:t xml:space="preserve">азанных полномочий, оформленное</w:t>
        <w:br w:type="textWrapping" w:clear="all"/>
      </w:r>
      <w:r>
        <w:t xml:space="preserve">в соответствии с требованиями устава.</w:t>
      </w:r>
      <w:r/>
    </w:p>
    <w:p>
      <w:pPr>
        <w:pStyle w:val="629"/>
        <w:ind w:firstLine="709"/>
        <w:widowControl w:val="off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2. Для иных общественных объединений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53"/>
        <w:spacing w:line="240" w:lineRule="auto"/>
      </w:pPr>
      <w:r>
        <w:t xml:space="preserve">2.1.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  <w:r/>
    </w:p>
    <w:p>
      <w:pPr>
        <w:pStyle w:val="653"/>
        <w:spacing w:line="240" w:lineRule="auto"/>
      </w:pPr>
      <w:r>
        <w:t xml:space="preserve">2.2. Решение полномочного (руководящего или иного) органа общественного объединения о внесении предложения о кандидатур</w:t>
      </w:r>
      <w:r>
        <w:t xml:space="preserve">е</w:t>
      </w:r>
      <w:r>
        <w:t xml:space="preserve"> для назначения член</w:t>
      </w:r>
      <w:r>
        <w:t xml:space="preserve">а</w:t>
      </w:r>
      <w:r>
        <w:t xml:space="preserve"> участков</w:t>
      </w:r>
      <w:r>
        <w:t xml:space="preserve">ой</w:t>
      </w:r>
      <w:r>
        <w:t xml:space="preserve"> избирательных комиссий с правом решающего голоса, оформленное в соответствии с требованиями устава, либо решение по этому же вопросу пол</w:t>
      </w:r>
      <w:r>
        <w:t xml:space="preserve">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r/>
    </w:p>
    <w:p>
      <w:pPr>
        <w:pStyle w:val="653"/>
        <w:spacing w:line="240" w:lineRule="auto"/>
      </w:pPr>
      <w:r>
        <w:t xml:space="preserve">2.3. Если предложение о кандидатур</w:t>
      </w:r>
      <w:r>
        <w:t xml:space="preserve">е</w:t>
      </w:r>
      <w:r>
        <w:t xml:space="preserve">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r>
        <w:fldChar w:fldCharType="begin"/>
      </w:r>
      <w:r>
        <w:instrText xml:space="preserve">HYPERLINK "consultantplus://offline/ref=06B27BCF48931AE156E24486E6F8F35D6B23B3414D5EB53740A5985125CC50CBBCEA6672284553LAcCL"</w:instrText>
      </w:r>
      <w:r>
        <w:fldChar w:fldCharType="separate"/>
      </w:r>
      <w:r>
        <w:t xml:space="preserve">пункте 2</w:t>
      </w:r>
      <w:r>
        <w:fldChar w:fldCharType="end"/>
      </w:r>
      <w:r>
        <w:t xml:space="preserve">.2 вопрос </w:t>
      </w:r>
      <w:r>
        <w:br w:type="textWrapping" w:clear="all"/>
      </w:r>
      <w:r>
        <w:t xml:space="preserve">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</w:t>
      </w:r>
      <w:r>
        <w:t xml:space="preserve">е</w:t>
      </w:r>
      <w:r>
        <w:t xml:space="preserve"> для назначения член</w:t>
      </w:r>
      <w:r>
        <w:t xml:space="preserve">а</w:t>
      </w:r>
      <w:r>
        <w:t xml:space="preserve"> участков</w:t>
      </w:r>
      <w:r>
        <w:t xml:space="preserve">ой</w:t>
      </w:r>
      <w:r>
        <w:t xml:space="preserve"> избирательн</w:t>
      </w:r>
      <w:r>
        <w:t xml:space="preserve">ой комиссии</w:t>
      </w:r>
      <w:r>
        <w:t xml:space="preserve"> с правом решающего голоса о делегировании таких полномочий и решение органа, которому делегированы эти полномочия, о внесении предложений о кандидатур</w:t>
      </w:r>
      <w:r>
        <w:t xml:space="preserve">е</w:t>
      </w:r>
      <w:r>
        <w:t xml:space="preserve"> для назначения член</w:t>
      </w:r>
      <w:r>
        <w:t xml:space="preserve">а</w:t>
      </w:r>
      <w:r>
        <w:t xml:space="preserve"> участков</w:t>
      </w:r>
      <w:r>
        <w:t xml:space="preserve">ой</w:t>
      </w:r>
      <w:r>
        <w:t xml:space="preserve"> избирательн</w:t>
      </w:r>
      <w:r>
        <w:t xml:space="preserve">ой</w:t>
      </w:r>
      <w:r>
        <w:t xml:space="preserve"> комис</w:t>
      </w:r>
      <w:r>
        <w:t xml:space="preserve">сии</w:t>
      </w:r>
      <w:r>
        <w:t xml:space="preserve"> с правом решающего голоса.</w:t>
      </w:r>
      <w:r/>
    </w:p>
    <w:p>
      <w:pPr>
        <w:pStyle w:val="653"/>
        <w:spacing w:line="240" w:lineRule="auto"/>
        <w:rPr>
          <w:b/>
        </w:rPr>
      </w:pPr>
      <w:r>
        <w:rPr>
          <w:b/>
        </w:rPr>
        <w:t xml:space="preserve">3. Для иных субъектов права внесения кандидатур для назначения членов участковых избирательных комиссий с правом решающего голоса</w:t>
      </w:r>
      <w:r>
        <w:rPr>
          <w:b/>
        </w:rPr>
      </w:r>
    </w:p>
    <w:p>
      <w:pPr>
        <w:pStyle w:val="653"/>
        <w:spacing w:line="240" w:lineRule="auto"/>
      </w:pPr>
      <w:r>
        <w:t xml:space="preserve">Решение представительного органа муниципального образования, протокол собрания избирателей по месту жительства, работы, службы, учебы.</w:t>
      </w:r>
      <w:r/>
    </w:p>
    <w:p>
      <w:pPr>
        <w:pStyle w:val="653"/>
        <w:spacing w:line="240" w:lineRule="auto"/>
        <w:rPr>
          <w:b/>
        </w:rPr>
      </w:pPr>
      <w:r>
        <w:rPr>
          <w:b/>
        </w:rPr>
        <w:t xml:space="preserve">Кроме того, всеми субъектами права внесения кандидатур должны быть представлены:</w:t>
      </w:r>
      <w:r>
        <w:rPr>
          <w:b/>
        </w:rPr>
      </w:r>
    </w:p>
    <w:p>
      <w:pPr>
        <w:pStyle w:val="653"/>
        <w:spacing w:line="240" w:lineRule="auto"/>
      </w:pPr>
      <w:r>
        <w:t xml:space="preserve">1. 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  <w:r/>
    </w:p>
    <w:p>
      <w:pPr>
        <w:pStyle w:val="653"/>
        <w:spacing w:line="240" w:lineRule="auto"/>
      </w:pPr>
      <w:r>
        <w:t xml:space="preserve"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назначения в состав избирательной комиссии.</w:t>
      </w:r>
      <w:r/>
    </w:p>
    <w:p>
      <w:pPr>
        <w:pStyle w:val="653"/>
        <w:spacing w:line="240" w:lineRule="auto"/>
      </w:pPr>
      <w:r>
        <w:t xml:space="preserve">3. Копия документа </w:t>
      </w:r>
      <w:r>
        <w:t xml:space="preserve"> гражданина Российской Федерации</w:t>
      </w:r>
      <w:r>
        <w:t xml:space="preserve">, кандидатура которого пре</w:t>
      </w:r>
      <w:r>
        <w:t xml:space="preserve">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</w:t>
      </w:r>
      <w:r>
        <w:t xml:space="preserve">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образовательной организации), домохозяйка (домохозяин), временно неработающий).</w:t>
      </w:r>
      <w:r/>
    </w:p>
    <w:p>
      <w:pPr>
        <w:pStyle w:val="65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указанные в согласии </w:t>
      </w:r>
      <w:r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комиссии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сведения об образовании и (или) квалификации.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3"/>
        <w:spacing w:line="240" w:lineRule="auto"/>
      </w:pPr>
      <w:r>
        <w:t xml:space="preserve">5. Две фотографии</w:t>
      </w:r>
      <w:r>
        <w:t xml:space="preserve"> гражданина Российской Федерации</w:t>
      </w:r>
      <w:r>
        <w:t xml:space="preserve">, предлагаемого в состав избирательной комиссии, размером 3 x 4 см (без уголка).</w:t>
      </w:r>
      <w:r>
        <w:rPr>
          <w:highlight w:val="yellow"/>
        </w:rPr>
        <w:t xml:space="preserve"> </w:t>
      </w:r>
      <w:r/>
    </w:p>
    <w:p>
      <w:pPr>
        <w:pStyle w:val="652"/>
        <w:ind w:firstLine="709"/>
        <w:rPr>
          <w:szCs w:val="28"/>
        </w:rPr>
      </w:pPr>
      <w:r>
        <w:rPr>
          <w:szCs w:val="28"/>
        </w:rPr>
        <w:t xml:space="preserve">Перечень и формы документов по формированию участковых избирательных комиссий размещены на сайте www.tver.izbirkom.ru в тематическом разделе «Формирование участковых избирательных комиссий и резерва составов участковых избирательных комиссий».</w:t>
      </w:r>
      <w:r>
        <w:rPr>
          <w:szCs w:val="28"/>
        </w:rPr>
      </w:r>
      <w:r>
        <w:rPr>
          <w:szCs w:val="28"/>
        </w:rPr>
      </w:r>
    </w:p>
    <w:p>
      <w:pPr>
        <w:pStyle w:val="652"/>
        <w:ind w:firstLine="539"/>
        <w:rPr>
          <w:szCs w:val="28"/>
        </w:rPr>
      </w:pPr>
      <w:r>
        <w:rPr>
          <w:szCs w:val="28"/>
        </w:rPr>
        <w:t xml:space="preserve">Телефон для справок: (</w:t>
      </w:r>
      <w:r>
        <w:rPr>
          <w:szCs w:val="28"/>
        </w:rPr>
        <w:t xml:space="preserve">4822</w:t>
      </w:r>
      <w:r>
        <w:rPr>
          <w:szCs w:val="28"/>
        </w:rPr>
        <w:t xml:space="preserve">) </w:t>
      </w:r>
      <w:r>
        <w:rPr>
          <w:szCs w:val="28"/>
        </w:rPr>
        <w:t xml:space="preserve">35-69-28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6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ерриториальная избирательная комиссия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</w:p>
    <w:sectPr>
      <w:footnotePr/>
      <w:endnotePr/>
      <w:type w:val="nextPage"/>
      <w:pgSz w:w="11906" w:h="16838" w:orient="portrait"/>
      <w:pgMar w:top="851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rFonts w:cs="Times New Roman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1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7" w:hanging="607"/>
        <w:tabs>
          <w:tab w:val="num" w:pos="88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9"/>
    <w:next w:val="62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9"/>
    <w:next w:val="62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9"/>
    <w:next w:val="62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9"/>
    <w:next w:val="62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9"/>
    <w:next w:val="62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9"/>
    <w:next w:val="62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9"/>
    <w:next w:val="62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9"/>
    <w:next w:val="62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9"/>
    <w:next w:val="62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9"/>
    <w:next w:val="62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9"/>
    <w:next w:val="62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9"/>
    <w:next w:val="62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9"/>
    <w:next w:val="62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9"/>
    <w:next w:val="62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9"/>
    <w:next w:val="62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9"/>
    <w:next w:val="62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9"/>
    <w:next w:val="62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9"/>
    <w:next w:val="62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9"/>
    <w:next w:val="62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9"/>
    <w:next w:val="62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9"/>
    <w:next w:val="62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9"/>
    <w:next w:val="62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9"/>
    <w:next w:val="62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9"/>
    <w:next w:val="629"/>
    <w:uiPriority w:val="99"/>
    <w:unhideWhenUsed/>
    <w:pPr>
      <w:spacing w:after="0" w:afterAutospacing="0"/>
    </w:pPr>
  </w:style>
  <w:style w:type="paragraph" w:styleId="629" w:default="1">
    <w:name w:val="Normal"/>
    <w:next w:val="629"/>
    <w:link w:val="629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30">
    <w:name w:val="Заголовок 3"/>
    <w:basedOn w:val="629"/>
    <w:next w:val="629"/>
    <w:link w:val="649"/>
    <w:qFormat/>
    <w:pPr>
      <w:jc w:val="center"/>
      <w:keepNext/>
      <w:spacing w:after="0" w:line="240" w:lineRule="auto"/>
      <w:outlineLvl w:val="2"/>
    </w:pPr>
    <w:rPr>
      <w:rFonts w:ascii="Times New Roman" w:hAnsi="Times New Roman" w:eastAsia="Times New Roman"/>
      <w:b/>
      <w:bCs/>
      <w:sz w:val="32"/>
      <w:szCs w:val="32"/>
      <w:lang w:eastAsia="ru-RU"/>
    </w:rPr>
  </w:style>
  <w:style w:type="character" w:styleId="631">
    <w:name w:val="Основной шрифт абзаца"/>
    <w:next w:val="631"/>
    <w:link w:val="629"/>
    <w:uiPriority w:val="1"/>
    <w:semiHidden/>
    <w:unhideWhenUsed/>
  </w:style>
  <w:style w:type="table" w:styleId="632">
    <w:name w:val="Обычная таблица"/>
    <w:next w:val="632"/>
    <w:link w:val="629"/>
    <w:uiPriority w:val="99"/>
    <w:semiHidden/>
    <w:unhideWhenUsed/>
    <w:qFormat/>
    <w:tblPr/>
  </w:style>
  <w:style w:type="numbering" w:styleId="633">
    <w:name w:val="Нет списка"/>
    <w:next w:val="633"/>
    <w:link w:val="629"/>
    <w:uiPriority w:val="99"/>
    <w:semiHidden/>
    <w:unhideWhenUsed/>
  </w:style>
  <w:style w:type="paragraph" w:styleId="634">
    <w:name w:val="Основной текст с отступом 2"/>
    <w:basedOn w:val="629"/>
    <w:next w:val="634"/>
    <w:link w:val="635"/>
    <w:uiPriority w:val="99"/>
    <w:pPr>
      <w:ind w:firstLine="851"/>
      <w:jc w:val="both"/>
      <w:spacing w:after="0" w:line="240" w:lineRule="auto"/>
    </w:pPr>
    <w:rPr>
      <w:rFonts w:ascii="Times New Roman" w:hAnsi="Times New Roman"/>
      <w:b/>
      <w:bCs/>
      <w:sz w:val="28"/>
      <w:szCs w:val="28"/>
      <w:lang w:val="en-US" w:eastAsia="ru-RU"/>
    </w:rPr>
  </w:style>
  <w:style w:type="character" w:styleId="635">
    <w:name w:val="Основной текст с отступом 2 Знак"/>
    <w:next w:val="635"/>
    <w:link w:val="634"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paragraph" w:styleId="636">
    <w:name w:val="Верхний колонтитул"/>
    <w:basedOn w:val="629"/>
    <w:next w:val="636"/>
    <w:link w:val="637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637">
    <w:name w:val="Верхний колонтитул Знак"/>
    <w:next w:val="637"/>
    <w:link w:val="636"/>
    <w:uiPriority w:val="99"/>
    <w:rPr>
      <w:rFonts w:ascii="Calibri" w:hAnsi="Calibri" w:eastAsia="Calibri" w:cs="Times New Roman"/>
      <w:sz w:val="20"/>
      <w:szCs w:val="20"/>
    </w:rPr>
  </w:style>
  <w:style w:type="paragraph" w:styleId="638">
    <w:name w:val="Нижний колонтитул"/>
    <w:basedOn w:val="629"/>
    <w:next w:val="638"/>
    <w:link w:val="63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 w:eastAsia="en-US"/>
    </w:rPr>
  </w:style>
  <w:style w:type="character" w:styleId="639">
    <w:name w:val="Нижний колонтитул Знак"/>
    <w:next w:val="639"/>
    <w:link w:val="638"/>
    <w:uiPriority w:val="99"/>
    <w:semiHidden/>
    <w:rPr>
      <w:rFonts w:ascii="Calibri" w:hAnsi="Calibri" w:eastAsia="Calibri" w:cs="Times New Roman"/>
    </w:rPr>
  </w:style>
  <w:style w:type="paragraph" w:styleId="640">
    <w:name w:val="Основной текст"/>
    <w:basedOn w:val="629"/>
    <w:next w:val="640"/>
    <w:link w:val="641"/>
    <w:uiPriority w:val="99"/>
    <w:semiHidden/>
    <w:unhideWhenUsed/>
    <w:pPr>
      <w:spacing w:after="120"/>
    </w:pPr>
    <w:rPr>
      <w:sz w:val="20"/>
      <w:szCs w:val="20"/>
      <w:lang w:val="en-US" w:eastAsia="en-US"/>
    </w:rPr>
  </w:style>
  <w:style w:type="character" w:styleId="641">
    <w:name w:val="Основной текст Знак"/>
    <w:next w:val="641"/>
    <w:link w:val="640"/>
    <w:uiPriority w:val="99"/>
    <w:semiHidden/>
    <w:rPr>
      <w:rFonts w:ascii="Calibri" w:hAnsi="Calibri" w:eastAsia="Calibri" w:cs="Times New Roman"/>
    </w:rPr>
  </w:style>
  <w:style w:type="paragraph" w:styleId="642">
    <w:name w:val="ConsNonformat"/>
    <w:next w:val="642"/>
    <w:link w:val="629"/>
    <w:pPr>
      <w:ind w:right="19772"/>
    </w:pPr>
    <w:rPr>
      <w:rFonts w:ascii="Courier New" w:hAnsi="Courier New" w:eastAsia="Times New Roman"/>
      <w:lang w:val="ru-RU" w:eastAsia="ru-RU" w:bidi="ar-SA"/>
    </w:rPr>
  </w:style>
  <w:style w:type="paragraph" w:styleId="643">
    <w:name w:val="ConsTitle"/>
    <w:next w:val="643"/>
    <w:link w:val="629"/>
    <w:pPr>
      <w:widowControl w:val="off"/>
    </w:pPr>
    <w:rPr>
      <w:rFonts w:ascii="Arial" w:hAnsi="Arial" w:eastAsia="Times New Roman"/>
      <w:b/>
      <w:sz w:val="16"/>
      <w:lang w:val="ru-RU" w:eastAsia="ru-RU" w:bidi="ar-SA"/>
    </w:rPr>
  </w:style>
  <w:style w:type="paragraph" w:styleId="644">
    <w:name w:val="Без интервала"/>
    <w:next w:val="644"/>
    <w:link w:val="629"/>
    <w:qFormat/>
    <w:rPr>
      <w:rFonts w:ascii="Times New Roman" w:hAnsi="Times New Roman" w:eastAsia="Times New Roman"/>
      <w:lang w:val="ru-RU" w:eastAsia="ru-RU" w:bidi="ar-SA"/>
    </w:rPr>
  </w:style>
  <w:style w:type="paragraph" w:styleId="645">
    <w:name w:val="Основной текст с отступом"/>
    <w:basedOn w:val="629"/>
    <w:next w:val="645"/>
    <w:link w:val="646"/>
    <w:pPr>
      <w:ind w:left="283"/>
      <w:spacing w:after="120" w:line="240" w:lineRule="auto"/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646">
    <w:name w:val="Основной текст с отступом Знак"/>
    <w:next w:val="646"/>
    <w:link w:val="64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47">
    <w:name w:val="Текст выноски"/>
    <w:basedOn w:val="629"/>
    <w:next w:val="647"/>
    <w:link w:val="64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48">
    <w:name w:val="Текст выноски Знак"/>
    <w:next w:val="648"/>
    <w:link w:val="647"/>
    <w:uiPriority w:val="99"/>
    <w:semiHidden/>
    <w:rPr>
      <w:rFonts w:ascii="Tahoma" w:hAnsi="Tahoma" w:eastAsia="Calibri" w:cs="Tahoma"/>
      <w:sz w:val="16"/>
      <w:szCs w:val="16"/>
    </w:rPr>
  </w:style>
  <w:style w:type="character" w:styleId="649">
    <w:name w:val="Заголовок 3 Знак"/>
    <w:basedOn w:val="631"/>
    <w:next w:val="649"/>
    <w:link w:val="630"/>
    <w:rPr>
      <w:rFonts w:ascii="Times New Roman" w:hAnsi="Times New Roman" w:eastAsia="Times New Roman"/>
      <w:b/>
      <w:bCs/>
      <w:sz w:val="32"/>
      <w:szCs w:val="32"/>
    </w:rPr>
  </w:style>
  <w:style w:type="paragraph" w:styleId="650">
    <w:name w:val="ConsPlusNonformat"/>
    <w:next w:val="650"/>
    <w:link w:val="62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51">
    <w:name w:val="ConsPlusNormal"/>
    <w:next w:val="651"/>
    <w:link w:val="629"/>
    <w:pPr>
      <w:widowControl w:val="off"/>
    </w:pPr>
    <w:rPr>
      <w:rFonts w:eastAsia="Times New Roman" w:cs="Calibri"/>
      <w:sz w:val="22"/>
      <w:szCs w:val="22"/>
      <w:lang w:val="ru-RU" w:eastAsia="ru-RU" w:bidi="ar-SA"/>
    </w:rPr>
  </w:style>
  <w:style w:type="paragraph" w:styleId="652">
    <w:name w:val="Основной текст 21"/>
    <w:basedOn w:val="629"/>
    <w:next w:val="652"/>
    <w:link w:val="629"/>
    <w:pPr>
      <w:ind w:firstLine="540"/>
      <w:jc w:val="both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653">
    <w:name w:val="14-15"/>
    <w:basedOn w:val="629"/>
    <w:next w:val="653"/>
    <w:link w:val="629"/>
    <w:pPr>
      <w:ind w:firstLine="709"/>
      <w:jc w:val="both"/>
      <w:spacing w:after="0" w:line="360" w:lineRule="auto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292" w:default="1">
    <w:name w:val="Default Paragraph Font"/>
    <w:uiPriority w:val="1"/>
    <w:semiHidden/>
    <w:unhideWhenUsed/>
  </w:style>
  <w:style w:type="numbering" w:styleId="1293" w:default="1">
    <w:name w:val="No List"/>
    <w:uiPriority w:val="99"/>
    <w:semiHidden/>
    <w:unhideWhenUsed/>
  </w:style>
  <w:style w:type="table" w:styleId="12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10</cp:revision>
  <dcterms:created xsi:type="dcterms:W3CDTF">2026-03-25T09:40:00Z</dcterms:created>
  <dcterms:modified xsi:type="dcterms:W3CDTF">2026-03-31T13:30:51Z</dcterms:modified>
  <cp:version>786432</cp:version>
</cp:coreProperties>
</file>