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D" w:rsidRPr="007B799C" w:rsidRDefault="007B799C" w:rsidP="000B1238">
      <w:pPr>
        <w:pStyle w:val="consplustitle"/>
        <w:spacing w:after="0"/>
        <w:ind w:firstLine="540"/>
        <w:jc w:val="center"/>
        <w:outlineLvl w:val="3"/>
        <w:rPr>
          <w:rStyle w:val="a4"/>
          <w:rFonts w:ascii="Tahoma" w:hAnsi="Tahoma" w:cs="Tahoma"/>
          <w:sz w:val="28"/>
          <w:szCs w:val="28"/>
          <w:u w:val="single"/>
        </w:rPr>
      </w:pPr>
      <w:r w:rsidRPr="007B799C">
        <w:rPr>
          <w:rStyle w:val="a4"/>
          <w:rFonts w:ascii="Tahoma" w:hAnsi="Tahoma" w:cs="Tahoma"/>
          <w:sz w:val="28"/>
          <w:szCs w:val="28"/>
          <w:u w:val="single"/>
        </w:rPr>
        <w:t>Избирательный кодекс Тверской области</w:t>
      </w:r>
    </w:p>
    <w:p w:rsidR="007B799C" w:rsidRDefault="007B799C" w:rsidP="00A2645D">
      <w:pPr>
        <w:pStyle w:val="consplustitle"/>
        <w:spacing w:after="0"/>
        <w:ind w:firstLine="540"/>
        <w:jc w:val="both"/>
        <w:outlineLvl w:val="3"/>
        <w:rPr>
          <w:rStyle w:val="a4"/>
          <w:rFonts w:ascii="Tahoma" w:hAnsi="Tahoma" w:cs="Tahoma"/>
          <w:sz w:val="28"/>
          <w:szCs w:val="28"/>
        </w:rPr>
      </w:pPr>
    </w:p>
    <w:p w:rsidR="007B799C" w:rsidRDefault="007B799C" w:rsidP="00A2645D">
      <w:pPr>
        <w:pStyle w:val="consplustitle"/>
        <w:spacing w:after="0"/>
        <w:ind w:firstLine="540"/>
        <w:jc w:val="both"/>
        <w:outlineLvl w:val="3"/>
        <w:rPr>
          <w:rStyle w:val="a4"/>
          <w:rFonts w:ascii="Tahoma" w:hAnsi="Tahoma" w:cs="Tahoma"/>
          <w:sz w:val="28"/>
          <w:szCs w:val="28"/>
        </w:rPr>
      </w:pPr>
    </w:p>
    <w:p w:rsidR="00A2645D" w:rsidRPr="00A2645D" w:rsidRDefault="00A2645D" w:rsidP="00A2645D">
      <w:pPr>
        <w:pStyle w:val="consplustitle"/>
        <w:spacing w:after="0"/>
        <w:ind w:firstLine="540"/>
        <w:jc w:val="both"/>
        <w:outlineLvl w:val="3"/>
        <w:rPr>
          <w:rFonts w:ascii="Helvetica" w:hAnsi="Helvetica" w:cs="Helvetica"/>
          <w:sz w:val="28"/>
          <w:szCs w:val="28"/>
        </w:rPr>
      </w:pPr>
      <w:r w:rsidRPr="00A2645D">
        <w:rPr>
          <w:rStyle w:val="a4"/>
          <w:rFonts w:ascii="Tahoma" w:hAnsi="Tahoma" w:cs="Tahoma"/>
          <w:sz w:val="28"/>
          <w:szCs w:val="28"/>
        </w:rPr>
        <w:t xml:space="preserve">Статья 104. Финансовое обеспечение подготовки и проведения выборов депутатов представительных органов муниципальных образований, выборных должностных лиц местного самоуправления </w:t>
      </w:r>
    </w:p>
    <w:p w:rsidR="00A2645D" w:rsidRPr="00A2645D" w:rsidRDefault="00A2645D" w:rsidP="00A2645D">
      <w:pPr>
        <w:pStyle w:val="a5"/>
        <w:rPr>
          <w:rFonts w:ascii="Helvetica" w:hAnsi="Helvetica" w:cs="Helvetica"/>
          <w:sz w:val="28"/>
          <w:szCs w:val="28"/>
        </w:rPr>
      </w:pPr>
      <w:r w:rsidRPr="00A2645D">
        <w:rPr>
          <w:rFonts w:ascii="Helvetica" w:hAnsi="Helvetica" w:cs="Helvetica"/>
          <w:sz w:val="28"/>
          <w:szCs w:val="28"/>
        </w:rPr>
        <w:t> </w:t>
      </w:r>
    </w:p>
    <w:p w:rsidR="00A2645D" w:rsidRPr="00A2645D" w:rsidRDefault="00A2645D" w:rsidP="00A2645D">
      <w:pPr>
        <w:pStyle w:val="consplusnormal"/>
        <w:spacing w:after="0"/>
        <w:ind w:firstLine="540"/>
        <w:jc w:val="both"/>
        <w:rPr>
          <w:rFonts w:ascii="Helvetica" w:hAnsi="Helvetica" w:cs="Helvetica"/>
          <w:sz w:val="28"/>
          <w:szCs w:val="28"/>
        </w:rPr>
      </w:pPr>
      <w:r w:rsidRPr="00A2645D">
        <w:rPr>
          <w:rFonts w:ascii="Tahoma" w:hAnsi="Tahoma" w:cs="Tahoma"/>
          <w:sz w:val="28"/>
          <w:szCs w:val="28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в письменной форме уведомляет избирательную комиссию муниципального образования (территориальную избирательную комиссию) об указанных обстоятельствах и избирательный счет не открывает. </w:t>
      </w:r>
    </w:p>
    <w:p w:rsidR="00A2645D" w:rsidRPr="007B799C" w:rsidRDefault="00A2645D" w:rsidP="00A2645D">
      <w:pPr>
        <w:pStyle w:val="consplusnormal"/>
        <w:spacing w:before="220" w:after="0"/>
        <w:ind w:firstLine="540"/>
        <w:jc w:val="both"/>
        <w:rPr>
          <w:rFonts w:ascii="Helvetica" w:hAnsi="Helvetica" w:cs="Helvetica"/>
          <w:sz w:val="40"/>
          <w:szCs w:val="40"/>
        </w:rPr>
      </w:pPr>
      <w:r w:rsidRPr="007B799C">
        <w:rPr>
          <w:rFonts w:ascii="Tahoma" w:hAnsi="Tahoma" w:cs="Tahoma"/>
          <w:sz w:val="40"/>
          <w:szCs w:val="40"/>
        </w:rPr>
        <w:t xml:space="preserve"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 </w:t>
      </w:r>
      <w:r w:rsidRPr="007B799C">
        <w:rPr>
          <w:rFonts w:ascii="Tahoma" w:hAnsi="Tahoma" w:cs="Tahoma"/>
          <w:b/>
          <w:sz w:val="40"/>
          <w:szCs w:val="40"/>
          <w:u w:val="single"/>
        </w:rPr>
        <w:t>Кандидат может использовать указанные средства для проведения своей избирательной кампании, за исключением изготовления агитационных материалов.</w:t>
      </w:r>
      <w:r w:rsidRPr="007B799C">
        <w:rPr>
          <w:rFonts w:ascii="Tahoma" w:hAnsi="Tahoma" w:cs="Tahoma"/>
          <w:sz w:val="40"/>
          <w:szCs w:val="40"/>
        </w:rPr>
        <w:t xml:space="preserve"> Кандидат представляет финансовый отчет, предусмотренный </w:t>
      </w:r>
      <w:hyperlink r:id="rId4" w:anchor="P1406" w:history="1">
        <w:r w:rsidRPr="007B799C">
          <w:rPr>
            <w:rStyle w:val="a3"/>
            <w:rFonts w:ascii="Tahoma" w:hAnsi="Tahoma" w:cs="Tahoma"/>
            <w:color w:val="auto"/>
            <w:sz w:val="40"/>
            <w:szCs w:val="40"/>
          </w:rPr>
          <w:t>пунктом 10 статьи 56</w:t>
        </w:r>
      </w:hyperlink>
      <w:r w:rsidRPr="007B799C">
        <w:rPr>
          <w:rFonts w:ascii="Tahoma" w:hAnsi="Tahoma" w:cs="Tahoma"/>
          <w:sz w:val="40"/>
          <w:szCs w:val="40"/>
        </w:rPr>
        <w:t xml:space="preserve"> настоящего Кодекса. </w:t>
      </w:r>
    </w:p>
    <w:p w:rsidR="00F12522" w:rsidRPr="00A2645D" w:rsidRDefault="00F12522" w:rsidP="00A2645D">
      <w:pPr>
        <w:rPr>
          <w:sz w:val="28"/>
          <w:szCs w:val="28"/>
        </w:rPr>
      </w:pPr>
    </w:p>
    <w:sectPr w:rsidR="00F12522" w:rsidRPr="00A2645D" w:rsidSect="00F1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45D"/>
    <w:rsid w:val="000B1238"/>
    <w:rsid w:val="00677878"/>
    <w:rsid w:val="007B799C"/>
    <w:rsid w:val="00A2645D"/>
    <w:rsid w:val="00F1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45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2645D"/>
    <w:rPr>
      <w:b/>
      <w:bCs/>
    </w:rPr>
  </w:style>
  <w:style w:type="paragraph" w:styleId="a5">
    <w:name w:val="Normal (Web)"/>
    <w:basedOn w:val="a"/>
    <w:uiPriority w:val="99"/>
    <w:semiHidden/>
    <w:unhideWhenUsed/>
    <w:rsid w:val="00A264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264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64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097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er.izbirkom.ru/zakonodatelstvo-o-vyborakh-i-referendumakh/izbiratelnyy-kodeks-tverskoy-oblasti-ot-7-aprelya-2003-goda-20-zo-red-ot-16-06-2016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2019-07-11T07:21:00Z</cp:lastPrinted>
  <dcterms:created xsi:type="dcterms:W3CDTF">2019-07-11T06:48:00Z</dcterms:created>
  <dcterms:modified xsi:type="dcterms:W3CDTF">2019-07-11T07:48:00Z</dcterms:modified>
</cp:coreProperties>
</file>